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4D786E0" w14:textId="77777777" w:rsidR="002F1CE4" w:rsidRPr="007E67DB" w:rsidRDefault="001F6D2E">
      <w:pPr>
        <w:pStyle w:val="Nadpis2"/>
        <w:spacing w:before="0" w:line="320" w:lineRule="atLeast"/>
        <w:jc w:val="both"/>
        <w:rPr>
          <w:b w:val="0"/>
          <w:bCs w:val="0"/>
          <w:i w:val="0"/>
          <w:iCs w:val="0"/>
        </w:rPr>
      </w:pPr>
      <w:r w:rsidRPr="007E67DB">
        <w:rPr>
          <w:noProof/>
        </w:rPr>
        <w:drawing>
          <wp:anchor distT="57150" distB="57150" distL="57150" distR="57150" simplePos="0" relativeHeight="251661312" behindDoc="0" locked="0" layoutInCell="1" allowOverlap="1" wp14:anchorId="04D78700" wp14:editId="04D78701">
            <wp:simplePos x="0" y="0"/>
            <wp:positionH relativeFrom="page">
              <wp:posOffset>2881629</wp:posOffset>
            </wp:positionH>
            <wp:positionV relativeFrom="page">
              <wp:posOffset>809624</wp:posOffset>
            </wp:positionV>
            <wp:extent cx="1796415" cy="342267"/>
            <wp:effectExtent l="0" t="0" r="0" b="0"/>
            <wp:wrapSquare wrapText="bothSides" distT="57150" distB="57150" distL="57150" distR="57150"/>
            <wp:docPr id="1073741825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 descr="image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3422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4D786E1" w14:textId="77777777" w:rsidR="002F1CE4" w:rsidRPr="007E67DB" w:rsidRDefault="002F1CE4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hAnsi="Arial"/>
          <w:i w:val="0"/>
          <w:iCs w:val="0"/>
        </w:rPr>
      </w:pPr>
    </w:p>
    <w:p w14:paraId="04D786E2" w14:textId="77777777" w:rsidR="002F1CE4" w:rsidRPr="007E67DB" w:rsidRDefault="001F6D2E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 w:rsidRPr="007E67DB">
        <w:rPr>
          <w:rFonts w:ascii="Arial" w:hAnsi="Arial"/>
          <w:i w:val="0"/>
          <w:iCs w:val="0"/>
        </w:rPr>
        <w:t>TISKOVÁ ZPRÁVA</w:t>
      </w:r>
      <w:r w:rsidRPr="007E67DB">
        <w:rPr>
          <w:rFonts w:ascii="Arial" w:hAnsi="Arial"/>
          <w:i w:val="0"/>
          <w:iCs w:val="0"/>
        </w:rPr>
        <w:tab/>
      </w:r>
      <w:r w:rsidRPr="007E67DB">
        <w:rPr>
          <w:rFonts w:ascii="Arial" w:hAnsi="Arial"/>
          <w:i w:val="0"/>
          <w:iCs w:val="0"/>
        </w:rPr>
        <w:tab/>
      </w:r>
      <w:r w:rsidRPr="007E67DB">
        <w:rPr>
          <w:rFonts w:ascii="Arial" w:hAnsi="Arial"/>
          <w:i w:val="0"/>
          <w:iCs w:val="0"/>
        </w:rPr>
        <w:tab/>
      </w:r>
      <w:r w:rsidRPr="007E67DB">
        <w:rPr>
          <w:rFonts w:ascii="Arial" w:hAnsi="Arial"/>
          <w:i w:val="0"/>
          <w:iCs w:val="0"/>
        </w:rPr>
        <w:tab/>
      </w:r>
      <w:r w:rsidRPr="007E67DB">
        <w:rPr>
          <w:rFonts w:ascii="Arial" w:hAnsi="Arial"/>
          <w:i w:val="0"/>
          <w:iCs w:val="0"/>
        </w:rPr>
        <w:tab/>
      </w:r>
      <w:r w:rsidRPr="007E67DB">
        <w:rPr>
          <w:rFonts w:ascii="Arial" w:hAnsi="Arial"/>
          <w:i w:val="0"/>
          <w:iCs w:val="0"/>
        </w:rPr>
        <w:tab/>
        <w:t xml:space="preserve">    19. listopadu 2018</w:t>
      </w:r>
    </w:p>
    <w:p w14:paraId="04D786E3" w14:textId="77777777" w:rsidR="002F1CE4" w:rsidRPr="007E67DB" w:rsidRDefault="002F1CE4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04D786E4" w14:textId="77777777" w:rsidR="002F1CE4" w:rsidRPr="007E67DB" w:rsidRDefault="001F6D2E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  <w:r w:rsidRPr="007E67DB">
        <w:rPr>
          <w:rFonts w:ascii="Arial" w:hAnsi="Arial"/>
          <w:b/>
          <w:bCs/>
          <w:sz w:val="28"/>
          <w:szCs w:val="28"/>
        </w:rPr>
        <w:t>Crescon postaví v Krkonoších horské apartmány s hotelovými službami Aldrov Apartments &amp; Resort</w:t>
      </w:r>
    </w:p>
    <w:p w14:paraId="04D786E5" w14:textId="77777777" w:rsidR="002F1CE4" w:rsidRPr="007E67DB" w:rsidRDefault="002F1CE4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04D786E6" w14:textId="2135B415" w:rsidR="002F1CE4" w:rsidRPr="007E67DB" w:rsidRDefault="001F6D2E">
      <w:pPr>
        <w:spacing w:line="320" w:lineRule="atLeast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7E67DB">
        <w:rPr>
          <w:rFonts w:ascii="Arial" w:hAnsi="Arial"/>
          <w:b/>
          <w:bCs/>
          <w:sz w:val="22"/>
          <w:szCs w:val="22"/>
        </w:rPr>
        <w:t>Luxusní rezidenční komplex s hotelovými službami Aldrov Apartments &amp; Resort, za jehož realizací stojí developerská společnost C</w:t>
      </w:r>
      <w:r w:rsidR="007E67DB">
        <w:rPr>
          <w:rFonts w:ascii="Arial" w:hAnsi="Arial"/>
          <w:b/>
          <w:bCs/>
          <w:sz w:val="22"/>
          <w:szCs w:val="22"/>
        </w:rPr>
        <w:t>rescon</w:t>
      </w:r>
      <w:r w:rsidRPr="007E67DB">
        <w:rPr>
          <w:rFonts w:ascii="Arial" w:hAnsi="Arial"/>
          <w:b/>
          <w:bCs/>
          <w:sz w:val="22"/>
          <w:szCs w:val="22"/>
        </w:rPr>
        <w:t>, vyroste v lokalitě krkonošské obce Vítkovice. Nový projekt s dvanácti horskými chatami, který již získal pravomocné územní rozhodnutí, nabídne 139 apartmánů určených k rekreačnímu bydlení i na investici. Jeho výstavbu plánuje developer zahájit v příštím roce a dokončit v roce 2021.</w:t>
      </w:r>
    </w:p>
    <w:p w14:paraId="04D786E7" w14:textId="77777777" w:rsidR="002F1CE4" w:rsidRPr="007E67DB" w:rsidRDefault="002F1CE4">
      <w:pPr>
        <w:spacing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04D786E8" w14:textId="4A9A4886" w:rsidR="002F1CE4" w:rsidRPr="007E67DB" w:rsidRDefault="002709B2">
      <w:pPr>
        <w:spacing w:line="320" w:lineRule="atLeast"/>
        <w:jc w:val="both"/>
        <w:rPr>
          <w:rStyle w:val="dn"/>
          <w:rFonts w:ascii="Arial" w:eastAsia="Arial" w:hAnsi="Arial" w:cs="Arial"/>
          <w:i/>
          <w:iCs/>
          <w:sz w:val="22"/>
          <w:szCs w:val="22"/>
        </w:rPr>
      </w:pPr>
      <w:r w:rsidRPr="007E67DB">
        <w:rPr>
          <w:noProof/>
        </w:rPr>
        <w:drawing>
          <wp:anchor distT="57150" distB="57150" distL="57150" distR="57150" simplePos="0" relativeHeight="251659264" behindDoc="0" locked="0" layoutInCell="1" allowOverlap="1" wp14:anchorId="04D78702" wp14:editId="24B26D46">
            <wp:simplePos x="0" y="0"/>
            <wp:positionH relativeFrom="margin">
              <wp:align>left</wp:align>
            </wp:positionH>
            <wp:positionV relativeFrom="line">
              <wp:posOffset>72162</wp:posOffset>
            </wp:positionV>
            <wp:extent cx="1748155" cy="1060450"/>
            <wp:effectExtent l="0" t="0" r="4445" b="635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Aldrov Apartments Resort_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ldrov Apartments Resort_02.jpeg" descr="Aldrov Apartments Resort_02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119" cy="10842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D2E" w:rsidRPr="007E67DB">
        <w:rPr>
          <w:rFonts w:ascii="Arial" w:hAnsi="Arial"/>
          <w:sz w:val="22"/>
          <w:szCs w:val="22"/>
        </w:rPr>
        <w:t xml:space="preserve">Základní myšlenku nového horského resortu přibližuje Jan Jerie, ředitel společnosti </w:t>
      </w:r>
      <w:hyperlink r:id="rId8" w:history="1">
        <w:r w:rsidR="001F6D2E" w:rsidRPr="007E67DB">
          <w:rPr>
            <w:rStyle w:val="Hyperlink0"/>
            <w:lang w:val="cs-CZ"/>
          </w:rPr>
          <w:t>C</w:t>
        </w:r>
        <w:r w:rsidR="007E67DB">
          <w:rPr>
            <w:rStyle w:val="Hyperlink0"/>
            <w:lang w:val="cs-CZ"/>
          </w:rPr>
          <w:t>rescon</w:t>
        </w:r>
      </w:hyperlink>
      <w:r w:rsidR="001F6D2E" w:rsidRPr="007E67DB">
        <w:rPr>
          <w:rStyle w:val="dn"/>
          <w:rFonts w:ascii="Arial" w:hAnsi="Arial"/>
          <w:sz w:val="22"/>
          <w:szCs w:val="22"/>
        </w:rPr>
        <w:t>:</w:t>
      </w:r>
      <w:r w:rsidR="001F6D2E" w:rsidRPr="007E67DB">
        <w:rPr>
          <w:rStyle w:val="dn"/>
          <w:rFonts w:ascii="Arial" w:hAnsi="Arial"/>
          <w:i/>
          <w:iCs/>
          <w:sz w:val="22"/>
          <w:szCs w:val="22"/>
        </w:rPr>
        <w:t xml:space="preserve"> „Aldrov Apartments &amp; Resort v sobě spojuje rezidenční areál s luxusním hotelovým komplexem, který je inspirovaný alpskými středisky Rakouska, Německa nebo Švýcarska. Nový projekt zaujme všechny aktivní sportovce, kteří se věnují lyžování, turistice nebo cyklistice, i rodiny s dětmi, jež si chtějí užívat přírodních krás Krkonoš. Jednotlivé apartmány se ideálně hodí k rekreačnímu bydlení a díky komplexním hotelovým službám a zajišťovanému pronájmu představují zajímavou investiční příležitost.“</w:t>
      </w:r>
    </w:p>
    <w:p w14:paraId="04D786E9" w14:textId="42D57B58" w:rsidR="002F1CE4" w:rsidRPr="007E67DB" w:rsidRDefault="001F6D2E">
      <w:pPr>
        <w:spacing w:line="320" w:lineRule="atLeast"/>
        <w:jc w:val="both"/>
        <w:rPr>
          <w:rStyle w:val="dn"/>
          <w:rFonts w:ascii="Arial" w:eastAsia="Arial" w:hAnsi="Arial" w:cs="Arial"/>
          <w:i/>
          <w:iCs/>
          <w:sz w:val="22"/>
          <w:szCs w:val="22"/>
        </w:rPr>
      </w:pPr>
      <w:r w:rsidRPr="007E67DB">
        <w:rPr>
          <w:rStyle w:val="dn"/>
          <w:rFonts w:ascii="Arial" w:hAnsi="Arial"/>
          <w:sz w:val="22"/>
          <w:szCs w:val="22"/>
        </w:rPr>
        <w:t xml:space="preserve"> </w:t>
      </w:r>
    </w:p>
    <w:p w14:paraId="04D786EA" w14:textId="77777777" w:rsidR="002F1CE4" w:rsidRPr="007E67DB" w:rsidRDefault="001F6D2E">
      <w:pPr>
        <w:spacing w:line="320" w:lineRule="atLeast"/>
        <w:rPr>
          <w:rStyle w:val="dn"/>
          <w:rFonts w:ascii="Arial" w:eastAsia="Arial" w:hAnsi="Arial" w:cs="Arial"/>
          <w:b/>
          <w:bCs/>
          <w:sz w:val="22"/>
          <w:szCs w:val="22"/>
        </w:rPr>
      </w:pPr>
      <w:r w:rsidRPr="007E67DB">
        <w:rPr>
          <w:rStyle w:val="dn"/>
          <w:rFonts w:ascii="Arial" w:hAnsi="Arial"/>
          <w:b/>
          <w:bCs/>
          <w:sz w:val="22"/>
          <w:szCs w:val="22"/>
        </w:rPr>
        <w:t>Horské apartmány s profesionálními hotelovými službami</w:t>
      </w:r>
    </w:p>
    <w:p w14:paraId="04D786EB" w14:textId="03130770" w:rsidR="002F1CE4" w:rsidRPr="007E67DB" w:rsidRDefault="002709B2">
      <w:pPr>
        <w:spacing w:line="320" w:lineRule="atLeast"/>
        <w:jc w:val="both"/>
        <w:rPr>
          <w:rStyle w:val="dn"/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B2308A4" wp14:editId="1BA2F9EF">
            <wp:simplePos x="0" y="0"/>
            <wp:positionH relativeFrom="margin">
              <wp:posOffset>3994150</wp:posOffset>
            </wp:positionH>
            <wp:positionV relativeFrom="margin">
              <wp:posOffset>5507990</wp:posOffset>
            </wp:positionV>
            <wp:extent cx="1761490" cy="10674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1F6D2E" w:rsidRPr="007E67DB">
          <w:rPr>
            <w:rStyle w:val="Hyperlink1"/>
            <w:lang w:val="cs-CZ"/>
          </w:rPr>
          <w:t>Aldrov Apartments &amp; Resort</w:t>
        </w:r>
      </w:hyperlink>
      <w:r w:rsidR="001F6D2E" w:rsidRPr="007E67DB">
        <w:rPr>
          <w:rStyle w:val="dn"/>
          <w:rFonts w:ascii="Arial" w:hAnsi="Arial"/>
          <w:sz w:val="22"/>
          <w:szCs w:val="22"/>
        </w:rPr>
        <w:t xml:space="preserve"> představuje luxusní komplex s hot</w:t>
      </w:r>
      <w:r>
        <w:rPr>
          <w:rStyle w:val="dn"/>
          <w:rFonts w:ascii="Arial" w:hAnsi="Arial"/>
          <w:sz w:val="22"/>
          <w:szCs w:val="22"/>
        </w:rPr>
        <w:t>elovým servisem, který tvoří 12 </w:t>
      </w:r>
      <w:r w:rsidR="001F6D2E" w:rsidRPr="007E67DB">
        <w:rPr>
          <w:rStyle w:val="dn"/>
          <w:rFonts w:ascii="Arial" w:hAnsi="Arial"/>
          <w:sz w:val="22"/>
          <w:szCs w:val="22"/>
        </w:rPr>
        <w:t>horských chat. V osmi z nich bude rozmístěno 139 komfortních apartmánů v dispozicích 1+kk až 4+kk a velikostech do 119 m</w:t>
      </w:r>
      <w:r w:rsidR="001F6D2E" w:rsidRPr="007E67DB">
        <w:rPr>
          <w:rStyle w:val="dn"/>
          <w:rFonts w:ascii="Arial" w:hAnsi="Arial"/>
          <w:sz w:val="22"/>
          <w:szCs w:val="22"/>
          <w:vertAlign w:val="superscript"/>
        </w:rPr>
        <w:t>2</w:t>
      </w:r>
      <w:r w:rsidR="001F6D2E" w:rsidRPr="007E67DB">
        <w:rPr>
          <w:rStyle w:val="dn"/>
          <w:rFonts w:ascii="Arial" w:hAnsi="Arial"/>
          <w:sz w:val="22"/>
          <w:szCs w:val="22"/>
        </w:rPr>
        <w:t>. Všechny</w:t>
      </w:r>
      <w:r w:rsidR="001F6D2E" w:rsidRPr="007E67DB">
        <w:rPr>
          <w:rStyle w:val="dn"/>
          <w:rFonts w:ascii="Arial" w:hAnsi="Arial"/>
          <w:sz w:val="22"/>
          <w:szCs w:val="22"/>
          <w:vertAlign w:val="superscript"/>
        </w:rPr>
        <w:t xml:space="preserve"> </w:t>
      </w:r>
      <w:r w:rsidR="001F6D2E" w:rsidRPr="007E67DB">
        <w:rPr>
          <w:rStyle w:val="dn"/>
          <w:rFonts w:ascii="Arial" w:hAnsi="Arial"/>
          <w:sz w:val="22"/>
          <w:szCs w:val="22"/>
        </w:rPr>
        <w:t>budou plně zařízené a doplněné parkovacím stáním v podzemním podlaží a sklepní kójí k uložení sezónního vybavení. Další budovy bud</w:t>
      </w:r>
      <w:bookmarkStart w:id="0" w:name="_GoBack"/>
      <w:bookmarkEnd w:id="0"/>
      <w:r w:rsidR="001F6D2E" w:rsidRPr="007E67DB">
        <w:rPr>
          <w:rStyle w:val="dn"/>
          <w:rFonts w:ascii="Arial" w:hAnsi="Arial"/>
          <w:sz w:val="22"/>
          <w:szCs w:val="22"/>
        </w:rPr>
        <w:t>ou vyčleněny pro nadstandardní hotelový servis včetně služby concierge, malou pekárnu, prodejnu sportovních oděvů a wellness s řadou relaxačních procedur: bazénem, vířivkou, bylinkovou saunou nebo vyhřívanou místností, tzv. tepidáriem. Součástí resortu bude také stylová krkonošská hospoda a restaurace s vinným barem. Majitelé apartmánů a hosté budou moci využít i dětské hřiště, lezeckou stěnu nebo venkovní cvičiště jógy. Samozřejmostí bude půjčovna zimního vybavení i horských kol a elektrokol.</w:t>
      </w:r>
    </w:p>
    <w:p w14:paraId="04D786EC" w14:textId="480CD457" w:rsidR="002F1CE4" w:rsidRPr="007E67DB" w:rsidRDefault="002F1CE4">
      <w:pPr>
        <w:spacing w:line="320" w:lineRule="atLeast"/>
        <w:jc w:val="both"/>
        <w:rPr>
          <w:rStyle w:val="dn"/>
          <w:rFonts w:ascii="Arial" w:eastAsia="Arial" w:hAnsi="Arial" w:cs="Arial"/>
          <w:b/>
          <w:bCs/>
          <w:sz w:val="22"/>
          <w:szCs w:val="22"/>
        </w:rPr>
      </w:pPr>
    </w:p>
    <w:p w14:paraId="04D786ED" w14:textId="182A8D6C" w:rsidR="002F1CE4" w:rsidRPr="007E67DB" w:rsidRDefault="001F6D2E">
      <w:pPr>
        <w:spacing w:line="320" w:lineRule="atLeast"/>
        <w:rPr>
          <w:rStyle w:val="dn"/>
          <w:rFonts w:ascii="Arial" w:eastAsia="Arial" w:hAnsi="Arial" w:cs="Arial"/>
          <w:b/>
          <w:bCs/>
          <w:sz w:val="22"/>
          <w:szCs w:val="22"/>
        </w:rPr>
      </w:pPr>
      <w:r w:rsidRPr="007E67DB">
        <w:rPr>
          <w:rStyle w:val="dn"/>
          <w:rFonts w:ascii="Arial" w:hAnsi="Arial"/>
          <w:b/>
          <w:bCs/>
          <w:sz w:val="22"/>
          <w:szCs w:val="22"/>
        </w:rPr>
        <w:t>Výhodná investice</w:t>
      </w:r>
    </w:p>
    <w:p w14:paraId="04D786EE" w14:textId="3ABC56C0" w:rsidR="002F1CE4" w:rsidRPr="007E67DB" w:rsidRDefault="001F6D2E">
      <w:pPr>
        <w:spacing w:line="320" w:lineRule="atLeast"/>
        <w:jc w:val="both"/>
        <w:rPr>
          <w:rStyle w:val="dn"/>
          <w:rFonts w:ascii="Arial" w:eastAsia="Arial" w:hAnsi="Arial" w:cs="Arial"/>
          <w:sz w:val="22"/>
          <w:szCs w:val="22"/>
        </w:rPr>
      </w:pPr>
      <w:r w:rsidRPr="007E67DB">
        <w:rPr>
          <w:rStyle w:val="dn"/>
          <w:rFonts w:ascii="Arial" w:hAnsi="Arial"/>
          <w:sz w:val="22"/>
          <w:szCs w:val="22"/>
        </w:rPr>
        <w:t xml:space="preserve">Jednotlivé apartmány jsou určené na prodej do osobního vlastnictví. Majitelé je mohou využívat k celoročnímu bydlení, ale zejména se hodí jako tzv. druhé bydlení pro několikadenní či týdenní rekreace v průběhu roku. </w:t>
      </w:r>
      <w:r w:rsidRPr="007E67DB">
        <w:rPr>
          <w:rStyle w:val="dn"/>
          <w:rFonts w:ascii="Arial" w:hAnsi="Arial"/>
          <w:i/>
          <w:iCs/>
          <w:sz w:val="22"/>
          <w:szCs w:val="22"/>
        </w:rPr>
        <w:t xml:space="preserve">„V době jejich nepřítomnosti se o apartmány postará hotelová služba, která zajistí komplexní servis se správou i pronájmem. Majitelé tak budou mít vše bez starostí a nemovitost jim přinese zajímavé zhodnocení vložených peněz. Očekávaný </w:t>
      </w:r>
      <w:r w:rsidRPr="007E67DB">
        <w:rPr>
          <w:rStyle w:val="dn"/>
          <w:rFonts w:ascii="Arial" w:hAnsi="Arial"/>
          <w:i/>
          <w:iCs/>
          <w:sz w:val="22"/>
          <w:szCs w:val="22"/>
        </w:rPr>
        <w:lastRenderedPageBreak/>
        <w:t xml:space="preserve">příjem z pronájmu po prvním roce fungování areálu se bude pohybovat kolem 4 % po odpočtu provozních nákladů a před zdaněním,“ </w:t>
      </w:r>
      <w:r w:rsidRPr="007E67DB">
        <w:rPr>
          <w:rStyle w:val="dn"/>
          <w:rFonts w:ascii="Arial" w:hAnsi="Arial"/>
          <w:sz w:val="22"/>
          <w:szCs w:val="22"/>
        </w:rPr>
        <w:t>vysvětluje výhody investice Jan Jerie.</w:t>
      </w:r>
    </w:p>
    <w:p w14:paraId="04D786EF" w14:textId="48906A3F" w:rsidR="002F1CE4" w:rsidRPr="007E67DB" w:rsidRDefault="002F1CE4">
      <w:pPr>
        <w:spacing w:line="320" w:lineRule="atLeast"/>
        <w:jc w:val="both"/>
        <w:rPr>
          <w:rStyle w:val="dn"/>
          <w:rFonts w:ascii="Arial" w:eastAsia="Arial" w:hAnsi="Arial" w:cs="Arial"/>
          <w:sz w:val="22"/>
          <w:szCs w:val="22"/>
        </w:rPr>
      </w:pPr>
    </w:p>
    <w:p w14:paraId="04D786F0" w14:textId="0A14FD8A" w:rsidR="002F1CE4" w:rsidRPr="007E67DB" w:rsidRDefault="001F6D2E">
      <w:pPr>
        <w:spacing w:line="320" w:lineRule="atLeast"/>
        <w:jc w:val="both"/>
        <w:rPr>
          <w:rStyle w:val="dn"/>
          <w:rFonts w:ascii="Arial" w:eastAsia="Arial" w:hAnsi="Arial" w:cs="Arial"/>
          <w:b/>
          <w:bCs/>
          <w:sz w:val="22"/>
          <w:szCs w:val="22"/>
        </w:rPr>
      </w:pPr>
      <w:r w:rsidRPr="007E67DB">
        <w:rPr>
          <w:rStyle w:val="dn"/>
          <w:rFonts w:ascii="Arial" w:hAnsi="Arial"/>
          <w:b/>
          <w:bCs/>
          <w:sz w:val="22"/>
          <w:szCs w:val="22"/>
        </w:rPr>
        <w:t>Architektura inspirovaná horskou přírodou</w:t>
      </w:r>
    </w:p>
    <w:p w14:paraId="04D786F1" w14:textId="6658CA2E" w:rsidR="002F1CE4" w:rsidRPr="007E67DB" w:rsidRDefault="002709B2">
      <w:pPr>
        <w:spacing w:line="320" w:lineRule="atLeast"/>
        <w:jc w:val="both"/>
        <w:rPr>
          <w:rStyle w:val="dn"/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0E542D5" wp14:editId="1929164A">
            <wp:simplePos x="0" y="0"/>
            <wp:positionH relativeFrom="margin">
              <wp:align>left</wp:align>
            </wp:positionH>
            <wp:positionV relativeFrom="margin">
              <wp:posOffset>1106881</wp:posOffset>
            </wp:positionV>
            <wp:extent cx="1748155" cy="1072515"/>
            <wp:effectExtent l="0" t="0" r="444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155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D2E" w:rsidRPr="007E67DB">
        <w:rPr>
          <w:rStyle w:val="dn"/>
          <w:rFonts w:ascii="Arial" w:hAnsi="Arial"/>
          <w:sz w:val="22"/>
          <w:szCs w:val="22"/>
        </w:rPr>
        <w:t xml:space="preserve">Architektonické a urbanistické řešení nového projektu navrhl renomovaný architekt Aleš Žalský. </w:t>
      </w:r>
      <w:r w:rsidR="001F6D2E" w:rsidRPr="007E67DB">
        <w:rPr>
          <w:rStyle w:val="dn"/>
          <w:rFonts w:ascii="Arial" w:hAnsi="Arial"/>
          <w:i/>
          <w:iCs/>
          <w:sz w:val="22"/>
          <w:szCs w:val="22"/>
        </w:rPr>
        <w:t xml:space="preserve">„Aldrov Apartments &amp; Resort je navržený v plném souladu s územním plánem obce Vítkovice a regionálním plánem Krkonoš. Horský resort tak citlivě zapadá do okolního prostředí a doplňuje panorama Vítkovic a malebný ráz zdejší krajiny. Jeho architektonický koncept vychází z tradiční krkonošské architektury. Domy proto budou mít klasické sedlové střechy a dřevěné obklady fasád v přírodních odstínech. Použity budou zejména klasické materiály kámen a dřevo, kombinované s moderními prvky jako jsou například velké prosklené plochy oken. Kvalitní přírodní materiály se promítnou také do vybavení interiérů,“ </w:t>
      </w:r>
      <w:r w:rsidR="001F6D2E" w:rsidRPr="007E67DB">
        <w:rPr>
          <w:rStyle w:val="dn"/>
          <w:rFonts w:ascii="Arial" w:hAnsi="Arial"/>
          <w:sz w:val="22"/>
          <w:szCs w:val="22"/>
        </w:rPr>
        <w:t>popisuje návrh projektu jeho autor.</w:t>
      </w:r>
    </w:p>
    <w:p w14:paraId="04D786F2" w14:textId="77777777" w:rsidR="002F1CE4" w:rsidRPr="007E67DB" w:rsidRDefault="002F1CE4">
      <w:pPr>
        <w:spacing w:line="320" w:lineRule="atLeast"/>
        <w:jc w:val="both"/>
        <w:rPr>
          <w:rStyle w:val="dn"/>
          <w:rFonts w:ascii="Arial" w:eastAsia="Arial" w:hAnsi="Arial" w:cs="Arial"/>
          <w:b/>
          <w:bCs/>
          <w:sz w:val="22"/>
          <w:szCs w:val="22"/>
        </w:rPr>
      </w:pPr>
    </w:p>
    <w:p w14:paraId="04D786F3" w14:textId="77777777" w:rsidR="002F1CE4" w:rsidRPr="007E67DB" w:rsidRDefault="001F6D2E">
      <w:pPr>
        <w:spacing w:line="320" w:lineRule="atLeast"/>
        <w:jc w:val="both"/>
        <w:rPr>
          <w:rStyle w:val="dn"/>
          <w:rFonts w:ascii="Arial" w:eastAsia="Arial" w:hAnsi="Arial" w:cs="Arial"/>
          <w:b/>
          <w:bCs/>
          <w:sz w:val="22"/>
          <w:szCs w:val="22"/>
        </w:rPr>
      </w:pPr>
      <w:r w:rsidRPr="007E67DB">
        <w:rPr>
          <w:rStyle w:val="dn"/>
          <w:rFonts w:ascii="Arial" w:hAnsi="Arial"/>
          <w:b/>
          <w:bCs/>
          <w:sz w:val="22"/>
          <w:szCs w:val="22"/>
        </w:rPr>
        <w:t>V srdci Krkonoš</w:t>
      </w:r>
    </w:p>
    <w:p w14:paraId="04D786F4" w14:textId="77777777" w:rsidR="002F1CE4" w:rsidRPr="007E67DB" w:rsidRDefault="001F6D2E">
      <w:pPr>
        <w:spacing w:line="320" w:lineRule="atLeast"/>
        <w:jc w:val="both"/>
        <w:rPr>
          <w:rStyle w:val="dn"/>
          <w:rFonts w:ascii="Arial" w:eastAsia="Arial" w:hAnsi="Arial" w:cs="Arial"/>
          <w:sz w:val="22"/>
          <w:szCs w:val="22"/>
        </w:rPr>
      </w:pPr>
      <w:r w:rsidRPr="007E67DB">
        <w:rPr>
          <w:rStyle w:val="dn"/>
          <w:rFonts w:ascii="Arial" w:hAnsi="Arial"/>
          <w:sz w:val="22"/>
          <w:szCs w:val="22"/>
        </w:rPr>
        <w:t xml:space="preserve">Aldrov Apartments &amp; Resort vyroste v lokalitě obce Vítkovice nedaleko Špindlerova Mlýna, jen pár kilometrů od Míseček. V této oblasti se nachází mnoho příležitostí ke sportovním aktivitám, k nimž patří především lyžování, horská turistika nebo cyklistika. </w:t>
      </w:r>
      <w:r w:rsidR="003B44FB" w:rsidRPr="007E67DB">
        <w:rPr>
          <w:rStyle w:val="dn"/>
          <w:rFonts w:ascii="Arial" w:hAnsi="Arial"/>
          <w:sz w:val="22"/>
          <w:szCs w:val="22"/>
        </w:rPr>
        <w:t xml:space="preserve">Resort je součástí </w:t>
      </w:r>
      <w:r w:rsidRPr="007E67DB">
        <w:rPr>
          <w:rStyle w:val="dn"/>
          <w:rFonts w:ascii="Arial" w:hAnsi="Arial"/>
          <w:sz w:val="22"/>
          <w:szCs w:val="22"/>
        </w:rPr>
        <w:t>lyžařsk</w:t>
      </w:r>
      <w:r w:rsidR="003B44FB" w:rsidRPr="007E67DB">
        <w:rPr>
          <w:rStyle w:val="dn"/>
          <w:rFonts w:ascii="Arial" w:hAnsi="Arial"/>
          <w:sz w:val="22"/>
          <w:szCs w:val="22"/>
        </w:rPr>
        <w:t xml:space="preserve">ého </w:t>
      </w:r>
      <w:r w:rsidRPr="007E67DB">
        <w:rPr>
          <w:rStyle w:val="dn"/>
          <w:rFonts w:ascii="Arial" w:hAnsi="Arial"/>
          <w:sz w:val="22"/>
          <w:szCs w:val="22"/>
        </w:rPr>
        <w:t>areál</w:t>
      </w:r>
      <w:r w:rsidR="003B44FB" w:rsidRPr="007E67DB">
        <w:rPr>
          <w:rStyle w:val="dn"/>
          <w:rFonts w:ascii="Arial" w:hAnsi="Arial"/>
          <w:sz w:val="22"/>
          <w:szCs w:val="22"/>
        </w:rPr>
        <w:t>u</w:t>
      </w:r>
      <w:r w:rsidRPr="007E67DB">
        <w:rPr>
          <w:rStyle w:val="dn"/>
          <w:rFonts w:ascii="Arial" w:hAnsi="Arial"/>
          <w:sz w:val="22"/>
          <w:szCs w:val="22"/>
        </w:rPr>
        <w:t xml:space="preserve"> Aldrov s pěti sjezdovými tratěmi, snowparkem, dětským vlekem a lyžařskou školou. Jeho okolí nabízí několik cyklostezek, turistických tras a upravených běžeckých stop na trase Krkonošské magistrály. </w:t>
      </w:r>
    </w:p>
    <w:p w14:paraId="04D786F5" w14:textId="77777777" w:rsidR="002F1CE4" w:rsidRPr="007E67DB" w:rsidRDefault="002F1CE4">
      <w:pPr>
        <w:spacing w:line="320" w:lineRule="atLeast"/>
        <w:jc w:val="both"/>
        <w:rPr>
          <w:rStyle w:val="dn"/>
          <w:rFonts w:ascii="Arial" w:eastAsia="Arial" w:hAnsi="Arial" w:cs="Arial"/>
          <w:sz w:val="22"/>
          <w:szCs w:val="22"/>
        </w:rPr>
      </w:pPr>
    </w:p>
    <w:p w14:paraId="04D786F6" w14:textId="77777777" w:rsidR="002F1CE4" w:rsidRPr="007E67DB" w:rsidRDefault="002F1CE4">
      <w:pPr>
        <w:spacing w:line="320" w:lineRule="atLeast"/>
        <w:jc w:val="both"/>
        <w:rPr>
          <w:rStyle w:val="dn"/>
          <w:rFonts w:ascii="Arial" w:eastAsia="Arial" w:hAnsi="Arial" w:cs="Arial"/>
          <w:sz w:val="22"/>
          <w:szCs w:val="22"/>
        </w:rPr>
      </w:pPr>
    </w:p>
    <w:p w14:paraId="04D786F7" w14:textId="77777777" w:rsidR="002F1CE4" w:rsidRPr="007E67DB" w:rsidRDefault="002F1CE4">
      <w:pPr>
        <w:spacing w:line="320" w:lineRule="atLeast"/>
        <w:jc w:val="both"/>
        <w:rPr>
          <w:rStyle w:val="dn"/>
          <w:rFonts w:ascii="Arial" w:eastAsia="Arial" w:hAnsi="Arial" w:cs="Arial"/>
          <w:sz w:val="22"/>
          <w:szCs w:val="22"/>
        </w:rPr>
      </w:pPr>
    </w:p>
    <w:p w14:paraId="04D786F8" w14:textId="77777777" w:rsidR="002F1CE4" w:rsidRPr="007E67DB" w:rsidRDefault="002F1CE4">
      <w:pPr>
        <w:spacing w:line="320" w:lineRule="atLeast"/>
        <w:jc w:val="both"/>
        <w:rPr>
          <w:rStyle w:val="dn"/>
          <w:rFonts w:ascii="Arial" w:eastAsia="Arial" w:hAnsi="Arial" w:cs="Arial"/>
          <w:sz w:val="22"/>
          <w:szCs w:val="22"/>
        </w:rPr>
      </w:pPr>
    </w:p>
    <w:p w14:paraId="04D786F9" w14:textId="77777777" w:rsidR="002F1CE4" w:rsidRPr="007E67DB" w:rsidRDefault="001F6D2E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>Developerská společnost CRESCON a.s.</w:t>
      </w:r>
      <w:r w:rsidRPr="007E67DB">
        <w:rPr>
          <w:rStyle w:val="dn"/>
          <w:rFonts w:ascii="Arial" w:hAnsi="Arial"/>
          <w:i/>
          <w:iCs/>
          <w:sz w:val="20"/>
          <w:szCs w:val="20"/>
        </w:rPr>
        <w:t xml:space="preserve"> byla založena v roce 2008. Opírá se o dlouholeté předchozí zkušenosti a know-how svých kmenových pracovníků, mj. svého ředitele Jana Jerie. Společnost se zaměřuje nejen na development bytových, kancelářských a obchodních objektů, ale také na stavby pro veřejný sektor a kompletní rozvoj územních a infrastrukturních celků. Při realizaci projektů garantuje kvalitu, vysoce profesionální přístup a nadstandardní, klientsky orientovaný servis. V současné době tvoří její portfolio více než 20 projektů převážně v Praze a blízkém okolí. Aktuálně připravuje také v Krkonoších projekt rekreačního bydlení vhodného i na investici Aldrov Apartments &amp; Resort.</w:t>
      </w:r>
    </w:p>
    <w:p w14:paraId="04D786FA" w14:textId="77777777" w:rsidR="002F1CE4" w:rsidRPr="007E67DB" w:rsidRDefault="001F6D2E">
      <w:pPr>
        <w:spacing w:after="120"/>
        <w:jc w:val="both"/>
        <w:rPr>
          <w:rStyle w:val="dn"/>
          <w:rFonts w:ascii="Arial" w:eastAsia="Arial" w:hAnsi="Arial" w:cs="Arial"/>
          <w:sz w:val="22"/>
          <w:szCs w:val="22"/>
        </w:rPr>
      </w:pPr>
      <w:r w:rsidRPr="007E67DB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4D78704" wp14:editId="04D78705">
                <wp:simplePos x="0" y="0"/>
                <wp:positionH relativeFrom="column">
                  <wp:posOffset>-33018</wp:posOffset>
                </wp:positionH>
                <wp:positionV relativeFrom="line">
                  <wp:posOffset>196850</wp:posOffset>
                </wp:positionV>
                <wp:extent cx="5784850" cy="822325"/>
                <wp:effectExtent l="0" t="0" r="0" b="0"/>
                <wp:wrapNone/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822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2.6pt;margin-top:15.5pt;width:455.5pt;height:64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 w14:paraId="04D786FB" w14:textId="77777777" w:rsidR="002F1CE4" w:rsidRPr="007E67DB" w:rsidRDefault="001F6D2E">
      <w:pPr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7E67DB">
        <w:rPr>
          <w:rStyle w:val="dn"/>
          <w:rFonts w:ascii="Arial" w:hAnsi="Arial"/>
          <w:b/>
          <w:bCs/>
          <w:i/>
          <w:iCs/>
          <w:sz w:val="20"/>
          <w:szCs w:val="20"/>
          <w:u w:val="single"/>
        </w:rPr>
        <w:t>Další informace:</w:t>
      </w:r>
    </w:p>
    <w:p w14:paraId="04D786FC" w14:textId="77777777" w:rsidR="002F1CE4" w:rsidRPr="007E67DB" w:rsidRDefault="001F6D2E">
      <w:pPr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7E67DB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04D786FD" w14:textId="77777777" w:rsidR="002F1CE4" w:rsidRPr="007E67DB" w:rsidRDefault="001F6D2E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7E67DB">
        <w:rPr>
          <w:rStyle w:val="dn"/>
          <w:rFonts w:ascii="Arial" w:hAnsi="Arial"/>
          <w:sz w:val="20"/>
          <w:szCs w:val="20"/>
        </w:rPr>
        <w:t xml:space="preserve">Marcela Kukaňová, tel.: +420 731 613 618, </w:t>
      </w:r>
      <w:hyperlink r:id="rId12" w:history="1">
        <w:r w:rsidRPr="007E67DB">
          <w:rPr>
            <w:rStyle w:val="Hyperlink2"/>
          </w:rPr>
          <w:t>marcela.kukanova@crestcom.cz</w:t>
        </w:r>
      </w:hyperlink>
    </w:p>
    <w:p w14:paraId="04D786FE" w14:textId="77777777" w:rsidR="002F1CE4" w:rsidRPr="007E67DB" w:rsidRDefault="001F6D2E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7E67DB">
        <w:rPr>
          <w:rStyle w:val="dn"/>
          <w:rFonts w:ascii="Arial" w:hAnsi="Arial"/>
          <w:sz w:val="20"/>
          <w:szCs w:val="20"/>
        </w:rPr>
        <w:t xml:space="preserve">Marie Cimplová, tel.: +420 731 613 602, </w:t>
      </w:r>
      <w:hyperlink r:id="rId13" w:history="1">
        <w:r w:rsidRPr="007E67DB">
          <w:rPr>
            <w:rStyle w:val="Hyperlink2"/>
          </w:rPr>
          <w:t>marie.cimplova@crestcom.cz</w:t>
        </w:r>
      </w:hyperlink>
    </w:p>
    <w:p w14:paraId="04D786FF" w14:textId="77777777" w:rsidR="002F1CE4" w:rsidRPr="007E67DB" w:rsidRDefault="008C111F">
      <w:pPr>
        <w:jc w:val="both"/>
      </w:pPr>
      <w:hyperlink r:id="rId14" w:history="1">
        <w:r w:rsidR="001F6D2E" w:rsidRPr="007E67DB">
          <w:rPr>
            <w:rStyle w:val="Hyperlink3"/>
          </w:rPr>
          <w:t>www.crestcom.cz</w:t>
        </w:r>
      </w:hyperlink>
      <w:r w:rsidR="001F6D2E" w:rsidRPr="007E67DB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15" w:history="1">
        <w:r w:rsidR="001F6D2E" w:rsidRPr="007E67DB">
          <w:rPr>
            <w:rStyle w:val="Hyperlink4"/>
            <w:lang w:val="cs-CZ"/>
          </w:rPr>
          <w:t>www.crescon.cz</w:t>
        </w:r>
      </w:hyperlink>
    </w:p>
    <w:sectPr w:rsidR="002F1CE4" w:rsidRPr="007E67DB">
      <w:headerReference w:type="default" r:id="rId16"/>
      <w:footerReference w:type="default" r:id="rId1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78708" w14:textId="77777777" w:rsidR="001F6D2E" w:rsidRDefault="001F6D2E">
      <w:r>
        <w:separator/>
      </w:r>
    </w:p>
  </w:endnote>
  <w:endnote w:type="continuationSeparator" w:id="0">
    <w:p w14:paraId="04D78709" w14:textId="77777777" w:rsidR="001F6D2E" w:rsidRDefault="001F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7870B" w14:textId="77777777" w:rsidR="002F1CE4" w:rsidRDefault="002F1CE4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78706" w14:textId="77777777" w:rsidR="001F6D2E" w:rsidRDefault="001F6D2E">
      <w:r>
        <w:separator/>
      </w:r>
    </w:p>
  </w:footnote>
  <w:footnote w:type="continuationSeparator" w:id="0">
    <w:p w14:paraId="04D78707" w14:textId="77777777" w:rsidR="001F6D2E" w:rsidRDefault="001F6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7870A" w14:textId="77777777" w:rsidR="002F1CE4" w:rsidRDefault="002F1CE4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E4"/>
    <w:rsid w:val="0016444E"/>
    <w:rsid w:val="001F6D2E"/>
    <w:rsid w:val="002709B2"/>
    <w:rsid w:val="002F1CE4"/>
    <w:rsid w:val="003B44FB"/>
    <w:rsid w:val="007A5F1D"/>
    <w:rsid w:val="007E67DB"/>
    <w:rsid w:val="008C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86E0"/>
  <w15:docId w15:val="{44FE74CB-8D49-45AB-B54E-BC4FA2E6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scon.cz/" TargetMode="External"/><Relationship Id="rId13" Type="http://schemas.openxmlformats.org/officeDocument/2006/relationships/hyperlink" Target="mailto:marie.cimplova@crestcom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marcela.kukanova@crestcom.cz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://www.crescon.cz" TargetMode="External"/><Relationship Id="rId10" Type="http://schemas.openxmlformats.org/officeDocument/2006/relationships/hyperlink" Target="https://www.crescon.cz/cs/projekty/aldrov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748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Dokumenty Crestcom</cp:lastModifiedBy>
  <cp:revision>4</cp:revision>
  <dcterms:created xsi:type="dcterms:W3CDTF">2018-11-15T13:29:00Z</dcterms:created>
  <dcterms:modified xsi:type="dcterms:W3CDTF">2018-11-19T09:46:00Z</dcterms:modified>
</cp:coreProperties>
</file>